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44"/>
          <w:szCs w:val="44"/>
        </w:rPr>
      </w:pPr>
      <w:bookmarkStart w:id="0" w:name="_GoBack"/>
      <w:bookmarkEnd w:id="0"/>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w:t>
      </w:r>
      <w:r>
        <w:rPr>
          <w:rFonts w:hint="eastAsia" w:ascii="Times New Roman" w:hAnsi="Times New Roman" w:cs="Times New Roman"/>
          <w:b/>
          <w:sz w:val="44"/>
          <w:szCs w:val="44"/>
        </w:rPr>
        <w:t>荻港香菜</w:t>
      </w:r>
      <w:r>
        <w:rPr>
          <w:rFonts w:ascii="Times New Roman" w:hAnsi="Times New Roman" w:cs="Times New Roman"/>
          <w:b/>
          <w:sz w:val="44"/>
          <w:szCs w:val="44"/>
        </w:rPr>
        <w:t>》团体标准</w:t>
      </w: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84"/>
          <w:szCs w:val="84"/>
        </w:rPr>
      </w:pPr>
      <w:r>
        <w:rPr>
          <w:rFonts w:ascii="Times New Roman" w:hAnsi="Times New Roman" w:cs="Times New Roman"/>
          <w:b/>
          <w:sz w:val="84"/>
          <w:szCs w:val="84"/>
        </w:rPr>
        <w:t>编制说明</w:t>
      </w: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安徽省食品科学技术学会</w:t>
      </w:r>
    </w:p>
    <w:p>
      <w:pPr>
        <w:spacing w:line="360" w:lineRule="auto"/>
        <w:jc w:val="center"/>
        <w:rPr>
          <w:rFonts w:ascii="Times New Roman" w:hAnsi="Times New Roman" w:cs="Times New Roman"/>
          <w:b/>
          <w:sz w:val="44"/>
          <w:szCs w:val="44"/>
        </w:rPr>
        <w:sectPr>
          <w:pgSz w:w="11906" w:h="16838"/>
          <w:pgMar w:top="1440" w:right="1800" w:bottom="1440" w:left="1800" w:header="851" w:footer="992" w:gutter="0"/>
          <w:cols w:space="425" w:num="1"/>
          <w:docGrid w:type="lines" w:linePitch="312" w:charSpace="0"/>
        </w:sectPr>
      </w:pPr>
      <w:r>
        <w:rPr>
          <w:rFonts w:ascii="Times New Roman" w:hAnsi="Times New Roman" w:cs="Times New Roman"/>
          <w:b/>
          <w:sz w:val="44"/>
          <w:szCs w:val="44"/>
        </w:rPr>
        <w:t xml:space="preserve">2023年9月    </w:t>
      </w:r>
    </w:p>
    <w:p>
      <w:pPr>
        <w:spacing w:line="360" w:lineRule="auto"/>
        <w:jc w:val="left"/>
        <w:outlineLvl w:val="0"/>
        <w:rPr>
          <w:rFonts w:ascii="Times New Roman" w:hAnsi="Times New Roman" w:eastAsia="宋体" w:cs="Times New Roman"/>
          <w:b/>
          <w:sz w:val="24"/>
          <w:szCs w:val="24"/>
        </w:rPr>
      </w:pPr>
      <w:r>
        <w:rPr>
          <w:rFonts w:ascii="Times New Roman" w:hAnsi="Times New Roman" w:eastAsia="宋体" w:cs="Times New Roman"/>
          <w:b/>
          <w:sz w:val="24"/>
          <w:szCs w:val="24"/>
        </w:rPr>
        <w:t>一、制定本文件的背景及任务来源</w:t>
      </w:r>
    </w:p>
    <w:p>
      <w:pPr>
        <w:spacing w:line="360" w:lineRule="auto"/>
        <w:jc w:val="left"/>
        <w:rPr>
          <w:rFonts w:ascii="Times New Roman" w:hAnsi="Times New Roman" w:eastAsia="宋体" w:cs="Times New Roman"/>
          <w:b/>
          <w:bCs/>
          <w:sz w:val="24"/>
          <w:szCs w:val="24"/>
        </w:rPr>
      </w:pPr>
      <w:r>
        <w:rPr>
          <w:rFonts w:ascii="Times New Roman" w:hAnsi="Times New Roman" w:eastAsia="宋体" w:cs="Times New Roman"/>
          <w:b/>
          <w:sz w:val="24"/>
          <w:szCs w:val="24"/>
        </w:rPr>
        <w:t>（一）</w:t>
      </w:r>
      <w:r>
        <w:rPr>
          <w:rFonts w:ascii="Times New Roman" w:hAnsi="Times New Roman" w:eastAsia="宋体" w:cs="Times New Roman"/>
          <w:b/>
          <w:bCs/>
          <w:sz w:val="24"/>
          <w:szCs w:val="24"/>
        </w:rPr>
        <w:t>制定本文件的背景</w:t>
      </w:r>
    </w:p>
    <w:p>
      <w:pPr>
        <w:spacing w:line="360" w:lineRule="auto"/>
        <w:ind w:firstLine="480" w:firstLineChars="200"/>
        <w:rPr>
          <w:rFonts w:ascii="Times New Roman" w:hAnsi="Times New Roman" w:eastAsia="宋体" w:cs="Times New Roman"/>
          <w:sz w:val="24"/>
          <w:szCs w:val="24"/>
          <w:shd w:val="clear" w:color="auto" w:fill="FFFFFF"/>
        </w:rPr>
      </w:pPr>
      <w:r>
        <w:rPr>
          <w:rFonts w:hint="eastAsia" w:ascii="Times New Roman" w:hAnsi="Times New Roman" w:eastAsia="宋体" w:cs="Times New Roman"/>
          <w:sz w:val="24"/>
          <w:szCs w:val="24"/>
          <w:shd w:val="clear" w:color="auto" w:fill="FFFFFF"/>
        </w:rPr>
        <w:t>“荻港香菜”取材于皖南地区的高杆白菜或小白菜，经特殊腌制工艺制作而成，颇受皖南地区消费者的欢迎。</w:t>
      </w:r>
      <w:r>
        <w:rPr>
          <w:rFonts w:ascii="Times New Roman" w:hAnsi="Times New Roman" w:eastAsia="宋体" w:cs="Times New Roman"/>
          <w:sz w:val="24"/>
          <w:szCs w:val="24"/>
          <w:shd w:val="clear" w:color="auto" w:fill="FFFFFF"/>
        </w:rPr>
        <w:t>2022年5月，</w:t>
      </w:r>
      <w:r>
        <w:rPr>
          <w:rFonts w:hint="eastAsia" w:ascii="Times New Roman" w:hAnsi="Times New Roman" w:eastAsia="宋体" w:cs="Times New Roman"/>
          <w:sz w:val="24"/>
          <w:szCs w:val="24"/>
          <w:shd w:val="clear" w:color="auto" w:fill="FFFFFF"/>
        </w:rPr>
        <w:t>“荻港香菜制作技艺”</w:t>
      </w:r>
      <w:r>
        <w:rPr>
          <w:rFonts w:ascii="Times New Roman" w:hAnsi="Times New Roman" w:eastAsia="宋体" w:cs="Times New Roman"/>
          <w:sz w:val="24"/>
          <w:szCs w:val="24"/>
          <w:shd w:val="clear" w:color="auto" w:fill="FFFFFF"/>
        </w:rPr>
        <w:t>入选安徽省第六批省级非物质文化遗产代表性项目名录。截止2022年底，荻港境内香菜加工企业商户有30余家，另有60多户家庭式作坊，制作技师500多名，形成了</w:t>
      </w:r>
      <w:r>
        <w:rPr>
          <w:rFonts w:hint="eastAsia" w:ascii="Times New Roman" w:hAnsi="Times New Roman" w:eastAsia="宋体" w:cs="Times New Roman"/>
          <w:sz w:val="24"/>
          <w:szCs w:val="24"/>
          <w:shd w:val="clear" w:color="auto" w:fill="FFFFFF"/>
        </w:rPr>
        <w:t>“老许香菜”</w:t>
      </w:r>
      <w:r>
        <w:rPr>
          <w:rFonts w:ascii="Times New Roman" w:hAnsi="Times New Roman" w:eastAsia="宋体" w:cs="Times New Roman"/>
          <w:sz w:val="24"/>
          <w:szCs w:val="24"/>
          <w:shd w:val="clear" w:color="auto" w:fill="FFFFFF"/>
        </w:rPr>
        <w:t>、</w:t>
      </w:r>
      <w:r>
        <w:rPr>
          <w:rFonts w:hint="eastAsia" w:ascii="Times New Roman" w:hAnsi="Times New Roman" w:eastAsia="宋体" w:cs="Times New Roman"/>
          <w:sz w:val="24"/>
          <w:szCs w:val="24"/>
          <w:shd w:val="clear" w:color="auto" w:fill="FFFFFF"/>
        </w:rPr>
        <w:t>“老夏香菜”</w:t>
      </w:r>
      <w:r>
        <w:rPr>
          <w:rFonts w:ascii="Times New Roman" w:hAnsi="Times New Roman" w:eastAsia="宋体" w:cs="Times New Roman"/>
          <w:sz w:val="24"/>
          <w:szCs w:val="24"/>
          <w:shd w:val="clear" w:color="auto" w:fill="FFFFFF"/>
        </w:rPr>
        <w:t>、</w:t>
      </w:r>
      <w:r>
        <w:rPr>
          <w:rFonts w:hint="eastAsia" w:ascii="Times New Roman" w:hAnsi="Times New Roman" w:eastAsia="宋体" w:cs="Times New Roman"/>
          <w:sz w:val="24"/>
          <w:szCs w:val="24"/>
          <w:shd w:val="clear" w:color="auto" w:fill="FFFFFF"/>
        </w:rPr>
        <w:t>“甘氏香菜”</w:t>
      </w:r>
      <w:r>
        <w:rPr>
          <w:rFonts w:ascii="Times New Roman" w:hAnsi="Times New Roman" w:eastAsia="宋体" w:cs="Times New Roman"/>
          <w:sz w:val="24"/>
          <w:szCs w:val="24"/>
          <w:shd w:val="clear" w:color="auto" w:fill="FFFFFF"/>
        </w:rPr>
        <w:t>等10多个香菜品牌，总产值达4000万元左右。近年来荻港香菜进入快速发展期，但因缺乏产品标准限制了产业的进一步发展，荻港镇政府编制了荻港香菜产业发展规划，并出台一系列配套政策扶持荻港香菜全产</w:t>
      </w:r>
      <w:r>
        <w:rPr>
          <w:rFonts w:hint="eastAsia" w:ascii="Times New Roman" w:hAnsi="Times New Roman" w:eastAsia="宋体" w:cs="Times New Roman"/>
          <w:sz w:val="24"/>
          <w:szCs w:val="24"/>
          <w:shd w:val="clear" w:color="auto" w:fill="FFFFFF"/>
        </w:rPr>
        <w:t>业链健康发展。</w:t>
      </w:r>
    </w:p>
    <w:p>
      <w:pPr>
        <w:numPr>
          <w:ilvl w:val="0"/>
          <w:numId w:val="1"/>
        </w:numPr>
        <w:spacing w:line="360" w:lineRule="auto"/>
        <w:jc w:val="left"/>
        <w:rPr>
          <w:rFonts w:ascii="Times New Roman" w:hAnsi="Times New Roman" w:eastAsia="宋体" w:cs="Times New Roman"/>
          <w:b/>
          <w:sz w:val="24"/>
          <w:szCs w:val="24"/>
        </w:rPr>
      </w:pPr>
      <w:r>
        <w:rPr>
          <w:rFonts w:ascii="Times New Roman" w:hAnsi="Times New Roman" w:eastAsia="宋体" w:cs="Times New Roman"/>
          <w:b/>
          <w:sz w:val="24"/>
          <w:szCs w:val="24"/>
        </w:rPr>
        <w:t>任务来源</w:t>
      </w:r>
    </w:p>
    <w:p>
      <w:pPr>
        <w:tabs>
          <w:tab w:val="left" w:pos="3795"/>
        </w:tabs>
        <w:spacing w:line="360" w:lineRule="auto"/>
        <w:ind w:firstLine="480" w:firstLineChars="200"/>
        <w:rPr>
          <w:rFonts w:ascii="Times New Roman" w:hAnsi="Times New Roman" w:eastAsia="宋体" w:cs="Times New Roman"/>
          <w:sz w:val="24"/>
          <w:szCs w:val="24"/>
          <w:shd w:val="clear" w:color="auto" w:fill="FFFFFF"/>
        </w:rPr>
      </w:pPr>
      <w:r>
        <w:rPr>
          <w:rFonts w:hint="eastAsia" w:ascii="Times New Roman" w:hAnsi="Times New Roman" w:eastAsia="宋体" w:cs="Times New Roman"/>
          <w:sz w:val="24"/>
          <w:szCs w:val="24"/>
          <w:shd w:val="clear" w:color="auto" w:fill="FFFFFF"/>
        </w:rPr>
        <w:t>本标准由芜湖市繁昌区荻港香菜产业研究中心有限公司提出，项目承担单位为安徽师范大学。</w:t>
      </w:r>
    </w:p>
    <w:p>
      <w:pPr>
        <w:spacing w:line="360" w:lineRule="auto"/>
        <w:jc w:val="left"/>
        <w:outlineLvl w:val="0"/>
        <w:rPr>
          <w:rFonts w:ascii="Times New Roman" w:hAnsi="Times New Roman" w:eastAsia="宋体" w:cs="Times New Roman"/>
          <w:b/>
          <w:sz w:val="24"/>
          <w:szCs w:val="24"/>
        </w:rPr>
      </w:pPr>
      <w:r>
        <w:rPr>
          <w:rFonts w:ascii="Times New Roman" w:hAnsi="Times New Roman" w:eastAsia="宋体" w:cs="Times New Roman"/>
          <w:b/>
          <w:sz w:val="24"/>
          <w:szCs w:val="24"/>
        </w:rPr>
        <w:t>二、主要工作过程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1）建立标准起草组</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2023 年6 月成立了《</w:t>
      </w:r>
      <w:r>
        <w:rPr>
          <w:rFonts w:hint="eastAsia" w:ascii="Times New Roman" w:hAnsi="Times New Roman" w:eastAsia="宋体" w:cs="Times New Roman"/>
          <w:sz w:val="24"/>
          <w:szCs w:val="24"/>
        </w:rPr>
        <w:t>荻港香菜</w:t>
      </w:r>
      <w:r>
        <w:rPr>
          <w:rFonts w:ascii="Times New Roman" w:hAnsi="Times New Roman" w:eastAsia="宋体" w:cs="Times New Roman"/>
          <w:sz w:val="24"/>
          <w:szCs w:val="24"/>
        </w:rPr>
        <w:t>》标准起草组。</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2）形成标准草案</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标准起草组于</w:t>
      </w:r>
      <w:r>
        <w:rPr>
          <w:rFonts w:ascii="Times New Roman" w:hAnsi="Times New Roman" w:eastAsia="宋体" w:cs="Times New Roman"/>
          <w:sz w:val="24"/>
          <w:szCs w:val="24"/>
        </w:rPr>
        <w:t>2023 年6 月启动本文件的调研工作，并于2023 年7 月底</w:t>
      </w:r>
      <w:r>
        <w:rPr>
          <w:rFonts w:hint="eastAsia" w:ascii="Times New Roman" w:hAnsi="Times New Roman" w:eastAsia="宋体" w:cs="Times New Roman"/>
          <w:sz w:val="24"/>
          <w:szCs w:val="24"/>
        </w:rPr>
        <w:t>前完成了相关资料的收集与分析工作，起草组经多次商讨和分析，确定了标准的框架和主要内容并于</w:t>
      </w:r>
      <w:r>
        <w:rPr>
          <w:rFonts w:ascii="Times New Roman" w:hAnsi="Times New Roman" w:eastAsia="宋体" w:cs="Times New Roman"/>
          <w:sz w:val="24"/>
          <w:szCs w:val="24"/>
        </w:rPr>
        <w:t>2023 年8月形成了标准草案稿。</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3）征求意见阶段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标准起草组先后召开了多次组内研讨会，对标准草案进行了讨论。根据专家意见，起草组对草案内容进行了修改，于</w:t>
      </w:r>
      <w:r>
        <w:rPr>
          <w:rFonts w:ascii="Times New Roman" w:hAnsi="Times New Roman" w:eastAsia="宋体" w:cs="Times New Roman"/>
          <w:sz w:val="24"/>
          <w:szCs w:val="24"/>
        </w:rPr>
        <w:t>2023 年9月中旬形成</w:t>
      </w:r>
      <w:r>
        <w:rPr>
          <w:rFonts w:hint="eastAsia" w:ascii="Times New Roman" w:hAnsi="Times New Roman" w:eastAsia="宋体" w:cs="Times New Roman"/>
          <w:sz w:val="24"/>
          <w:szCs w:val="24"/>
        </w:rPr>
        <w:t>了</w:t>
      </w:r>
      <w:r>
        <w:rPr>
          <w:rFonts w:ascii="Times New Roman" w:hAnsi="Times New Roman" w:eastAsia="宋体" w:cs="Times New Roman"/>
          <w:sz w:val="24"/>
          <w:szCs w:val="24"/>
        </w:rPr>
        <w:t>标准征求意</w:t>
      </w:r>
      <w:r>
        <w:rPr>
          <w:rFonts w:hint="eastAsia" w:ascii="Times New Roman" w:hAnsi="Times New Roman" w:eastAsia="宋体" w:cs="Times New Roman"/>
          <w:sz w:val="24"/>
          <w:szCs w:val="24"/>
        </w:rPr>
        <w:t>见稿。</w:t>
      </w:r>
    </w:p>
    <w:p>
      <w:pPr>
        <w:spacing w:line="360" w:lineRule="auto"/>
        <w:jc w:val="left"/>
        <w:outlineLvl w:val="0"/>
        <w:rPr>
          <w:rFonts w:ascii="Times New Roman" w:hAnsi="Times New Roman" w:eastAsia="宋体" w:cs="Times New Roman"/>
          <w:sz w:val="24"/>
          <w:szCs w:val="24"/>
        </w:rPr>
      </w:pPr>
      <w:r>
        <w:rPr>
          <w:rFonts w:ascii="Times New Roman" w:hAnsi="Times New Roman" w:eastAsia="宋体" w:cs="Times New Roman"/>
          <w:b/>
          <w:sz w:val="24"/>
          <w:szCs w:val="24"/>
        </w:rPr>
        <w:t>三、制标原则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1、严格按照GB/T 1.1—2020《标准化工作导则》的要求起草； 2、标准应</w:t>
      </w:r>
      <w:r>
        <w:rPr>
          <w:rFonts w:hint="eastAsia" w:ascii="Times New Roman" w:hAnsi="Times New Roman" w:eastAsia="宋体" w:cs="Times New Roman"/>
          <w:sz w:val="24"/>
          <w:szCs w:val="24"/>
        </w:rPr>
        <w:t>符合国家有关法律法规、强制性标准及相关产业政策要求；</w:t>
      </w:r>
      <w:r>
        <w:rPr>
          <w:rFonts w:ascii="Times New Roman" w:hAnsi="Times New Roman" w:eastAsia="宋体" w:cs="Times New Roman"/>
          <w:sz w:val="24"/>
          <w:szCs w:val="24"/>
        </w:rPr>
        <w:t xml:space="preserve"> 3、标准要具有科</w:t>
      </w:r>
      <w:r>
        <w:rPr>
          <w:rFonts w:hint="eastAsia" w:ascii="Times New Roman" w:hAnsi="Times New Roman" w:eastAsia="宋体" w:cs="Times New Roman"/>
          <w:sz w:val="24"/>
          <w:szCs w:val="24"/>
        </w:rPr>
        <w:t>学性、先进性、经济性，切实可行。</w:t>
      </w:r>
    </w:p>
    <w:p>
      <w:pPr>
        <w:spacing w:line="360" w:lineRule="auto"/>
        <w:jc w:val="left"/>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四、标准内容说明</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规定术语和定义，原辅料要求，产品质量要求，产品安全要求，净含量，生产加工过程，检验规则，判定规则，标签、标志，包装、运输与贮存。</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范围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本文件规定了荻港香菜的术语和定义，原辅料要求，产品质量要求，产品安全要求，净含量，生产加工过程，检验规则，判定规则，标签、标志，包装、运输与贮存。</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本文件适用于预包装的荻港香菜的生产、检验、运输和贮存。</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规范性引用文件</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hint="eastAsia" w:ascii="Times New Roman" w:hAnsi="Times New Roman" w:eastAsia="宋体" w:cs="Times New Roman"/>
          <w:szCs w:val="24"/>
          <w:lang w:val="en-US" w:bidi="ar"/>
        </w:rPr>
        <w:t>下列文件对于本文件的应用是必不可少的。凡是注日期的引用文件，仅所注日期的版本适用于本文件。凡是不注日期的引用文件，其最新版本（包括所有的修改单）适用于本文件。</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GB/T191 包装储运图示标志</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GB2714 食品安全国家标准 酱腌菜</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GB2760 食品安全国家标准 食品添加剂使用标准</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GB2762 食品安全国家标准 食品中污染物限量</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GB2763 食品安全国家标准 食品中农药最大残留限量</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GB4789.1 食品安全国家标准 食品微生物学检验 总则</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GB4789.3 食品安全国家标准 食品微生物学检验 大肠菌群计数</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GB5009.3 食品安全国家标准 食品中水分的测定</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GB5009.33 食品安全国家标准 食品中亚硝酸盐与硝酸盐的测定</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GB5009.44 食品安全国家标准 食品中氯化物的测定</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GB7718 食品安全国家标准 预包装食品标签通则</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GB12456 食品安全国家标准 食品中总酸的测定</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GB14881 食品安全国家标准 食品生产通用卫生规范</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GB29921 食品安全国家标准 预包装食品中致病菌限量</w:t>
      </w:r>
    </w:p>
    <w:p>
      <w:pPr>
        <w:pStyle w:val="7"/>
        <w:widowControl/>
        <w:tabs>
          <w:tab w:val="center" w:pos="4201"/>
          <w:tab w:val="right" w:leader="dot" w:pos="9298"/>
        </w:tabs>
        <w:adjustRightInd w:val="0"/>
        <w:snapToGrid w:val="0"/>
        <w:spacing w:line="360" w:lineRule="auto"/>
        <w:ind w:firstLine="480" w:firstLineChars="200"/>
        <w:rPr>
          <w:rFonts w:ascii="Times New Roman" w:hAnsi="Times New Roman" w:eastAsia="宋体" w:cs="Times New Roman"/>
          <w:szCs w:val="24"/>
          <w:lang w:val="en-US" w:bidi="ar"/>
        </w:rPr>
      </w:pPr>
      <w:r>
        <w:rPr>
          <w:rFonts w:ascii="Times New Roman" w:hAnsi="Times New Roman" w:eastAsia="宋体" w:cs="Times New Roman"/>
          <w:szCs w:val="24"/>
          <w:lang w:val="en-US" w:bidi="ar"/>
        </w:rPr>
        <w:t>JJF1070 定量包装商品净含量计量检验规则</w:t>
      </w:r>
    </w:p>
    <w:p>
      <w:pPr>
        <w:pStyle w:val="7"/>
        <w:widowControl/>
        <w:tabs>
          <w:tab w:val="center" w:pos="4201"/>
          <w:tab w:val="right" w:leader="dot" w:pos="9298"/>
        </w:tabs>
        <w:adjustRightInd w:val="0"/>
        <w:snapToGrid w:val="0"/>
        <w:spacing w:line="360" w:lineRule="auto"/>
        <w:ind w:firstLine="480" w:firstLineChars="200"/>
        <w:jc w:val="both"/>
        <w:rPr>
          <w:rFonts w:ascii="Times New Roman" w:hAnsi="Times New Roman" w:eastAsia="宋体" w:cs="Times New Roman"/>
          <w:szCs w:val="24"/>
          <w:lang w:val="en-US" w:bidi="ar"/>
        </w:rPr>
      </w:pPr>
      <w:r>
        <w:rPr>
          <w:rFonts w:ascii="Times New Roman" w:hAnsi="Times New Roman" w:eastAsia="宋体" w:cs="Times New Roman"/>
          <w:szCs w:val="24"/>
          <w:lang w:val="en-US" w:bidi="ar"/>
        </w:rPr>
        <w:t>DB 3402/T 16 芜湖香菜小作坊生产加工规程</w:t>
      </w:r>
    </w:p>
    <w:p>
      <w:pPr>
        <w:adjustRightInd w:val="0"/>
        <w:snapToGrid w:val="0"/>
        <w:spacing w:line="360" w:lineRule="auto"/>
        <w:ind w:firstLine="480" w:firstLineChars="200"/>
        <w:rPr>
          <w:rFonts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定量包装商品计量监督管理办法</w:t>
      </w:r>
      <w:r>
        <w:rPr>
          <w:rFonts w:ascii="Times New Roman" w:hAnsi="Times New Roman" w:eastAsia="宋体" w:cs="Times New Roman"/>
          <w:kern w:val="0"/>
          <w:sz w:val="24"/>
          <w:szCs w:val="24"/>
          <w:lang w:bidi="ar"/>
        </w:rPr>
        <w:t>[国家市场监督管理总局 (2023)第70号令]</w:t>
      </w:r>
    </w:p>
    <w:p>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术语和定义</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下列术语和定义适用于本标准。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 荻港香菜 Digang Salted Pak Choi</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以产自安徽省沿江一带的高杆白菜或小白菜等新鲜蔬菜为主要原料，经过腌制等工序，添加或不添加调味料（大蒜、味精、辣椒、芝麻等）制成的蔬菜制品。</w:t>
      </w:r>
    </w:p>
    <w:p>
      <w:pPr>
        <w:spacing w:line="360" w:lineRule="auto"/>
        <w:jc w:val="left"/>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五、试验（或验证）情况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本标准通过试点、研讨等多种形式，确定了标准中部分内容，服务的频次和水平，确保标准的适宜性、充分性、有效性。</w:t>
      </w:r>
    </w:p>
    <w:p>
      <w:pPr>
        <w:spacing w:line="360" w:lineRule="auto"/>
        <w:jc w:val="left"/>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五、预期达到的经济和社会效果</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提高荻港香菜生产过程的卫生规范，达到更好的荻港香菜产品品质，提高劳动生产率，并且有利于构建社会主义和谐社会。</w:t>
      </w:r>
    </w:p>
    <w:p>
      <w:pPr>
        <w:spacing w:line="360" w:lineRule="auto"/>
        <w:jc w:val="left"/>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六、与国内对比情况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本标准为首次自主制定，不涉及国际国外标准采标情况。</w:t>
      </w:r>
    </w:p>
    <w:p>
      <w:pPr>
        <w:spacing w:line="360" w:lineRule="auto"/>
        <w:jc w:val="left"/>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七、与现行相关法律法规和强制性标准的关系</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本标准符合国家现行法律、法规、规章和强制性行业标准的要求。</w:t>
      </w:r>
    </w:p>
    <w:p>
      <w:pPr>
        <w:spacing w:line="360" w:lineRule="auto"/>
        <w:jc w:val="left"/>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八、分歧意见的处理经过和依据</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本标准在制定过程中未出现重大分歧意见。</w:t>
      </w:r>
    </w:p>
    <w:p>
      <w:pPr>
        <w:spacing w:line="360" w:lineRule="auto"/>
        <w:jc w:val="left"/>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九、贯彻标准的要求和措施建议</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为首次荻港香菜制定的团队标准，为推荐性标准，在组织上建议在安徽省取得荻港香菜生产加工资质的企业或商户应用实施，并逐渐引导其他全国多家单位推荐试用。并将实施过程中出现的问题和改进建议反馈起草组以便进一步对本标准进行修改完善。</w:t>
      </w:r>
    </w:p>
    <w:p>
      <w:pPr>
        <w:spacing w:line="360" w:lineRule="auto"/>
        <w:jc w:val="left"/>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十、其它应予说明的事项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w:t>
      </w: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《荻港香菜》标准起草组</w:t>
      </w:r>
    </w:p>
    <w:p>
      <w:pPr>
        <w:spacing w:line="360" w:lineRule="auto"/>
        <w:ind w:firstLine="480" w:firstLineChars="200"/>
        <w:jc w:val="right"/>
        <w:rPr>
          <w:rFonts w:ascii="Times New Roman" w:hAnsi="Times New Roman" w:eastAsia="宋体" w:cs="Times New Roman"/>
          <w:sz w:val="24"/>
          <w:szCs w:val="24"/>
        </w:rPr>
      </w:pPr>
      <w:r>
        <w:rPr>
          <w:rFonts w:ascii="Times New Roman" w:hAnsi="Times New Roman" w:eastAsia="宋体" w:cs="Times New Roman"/>
          <w:sz w:val="24"/>
          <w:szCs w:val="24"/>
        </w:rPr>
        <w:t>2023 年9 月20 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7EFA7"/>
    <w:multiLevelType w:val="singleLevel"/>
    <w:tmpl w:val="C547EFA7"/>
    <w:lvl w:ilvl="0" w:tentative="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CA"/>
    <w:rsid w:val="00005351"/>
    <w:rsid w:val="000172A3"/>
    <w:rsid w:val="00043C58"/>
    <w:rsid w:val="00044735"/>
    <w:rsid w:val="00047710"/>
    <w:rsid w:val="00090DD1"/>
    <w:rsid w:val="000976AC"/>
    <w:rsid w:val="000A7099"/>
    <w:rsid w:val="000C1F39"/>
    <w:rsid w:val="000E3948"/>
    <w:rsid w:val="000F7F6D"/>
    <w:rsid w:val="00106F5A"/>
    <w:rsid w:val="00113C0B"/>
    <w:rsid w:val="00155480"/>
    <w:rsid w:val="001566E7"/>
    <w:rsid w:val="001A090C"/>
    <w:rsid w:val="001B39D7"/>
    <w:rsid w:val="001C4E13"/>
    <w:rsid w:val="001D65F5"/>
    <w:rsid w:val="001F2FE9"/>
    <w:rsid w:val="002241CA"/>
    <w:rsid w:val="00255774"/>
    <w:rsid w:val="00274AF7"/>
    <w:rsid w:val="00280BCB"/>
    <w:rsid w:val="002B3D2E"/>
    <w:rsid w:val="003114AE"/>
    <w:rsid w:val="00327617"/>
    <w:rsid w:val="00366F86"/>
    <w:rsid w:val="00380789"/>
    <w:rsid w:val="00381660"/>
    <w:rsid w:val="003C560A"/>
    <w:rsid w:val="003C6A81"/>
    <w:rsid w:val="003F119D"/>
    <w:rsid w:val="003F40E5"/>
    <w:rsid w:val="003F56EF"/>
    <w:rsid w:val="00402176"/>
    <w:rsid w:val="00414809"/>
    <w:rsid w:val="00423D5B"/>
    <w:rsid w:val="004410B5"/>
    <w:rsid w:val="00491188"/>
    <w:rsid w:val="004A3D7D"/>
    <w:rsid w:val="004B3CDF"/>
    <w:rsid w:val="004C2F4B"/>
    <w:rsid w:val="004C3599"/>
    <w:rsid w:val="004C4858"/>
    <w:rsid w:val="004D6B37"/>
    <w:rsid w:val="004E60C7"/>
    <w:rsid w:val="005053BF"/>
    <w:rsid w:val="00550EF7"/>
    <w:rsid w:val="00564134"/>
    <w:rsid w:val="00597F14"/>
    <w:rsid w:val="005A5CD0"/>
    <w:rsid w:val="005E4C26"/>
    <w:rsid w:val="00617B0F"/>
    <w:rsid w:val="00640672"/>
    <w:rsid w:val="00660FBD"/>
    <w:rsid w:val="00672468"/>
    <w:rsid w:val="00681FAD"/>
    <w:rsid w:val="00686CEB"/>
    <w:rsid w:val="006C096F"/>
    <w:rsid w:val="007372ED"/>
    <w:rsid w:val="00753694"/>
    <w:rsid w:val="007633A7"/>
    <w:rsid w:val="007C4B25"/>
    <w:rsid w:val="007E1A70"/>
    <w:rsid w:val="00803989"/>
    <w:rsid w:val="00805D2E"/>
    <w:rsid w:val="008351C9"/>
    <w:rsid w:val="00866E94"/>
    <w:rsid w:val="00882DCC"/>
    <w:rsid w:val="008A2E02"/>
    <w:rsid w:val="008A2E95"/>
    <w:rsid w:val="008B1101"/>
    <w:rsid w:val="00907057"/>
    <w:rsid w:val="00911FDE"/>
    <w:rsid w:val="00926004"/>
    <w:rsid w:val="00940E1F"/>
    <w:rsid w:val="00946AB9"/>
    <w:rsid w:val="009F193A"/>
    <w:rsid w:val="009F1F76"/>
    <w:rsid w:val="00A1197B"/>
    <w:rsid w:val="00A15068"/>
    <w:rsid w:val="00A25E47"/>
    <w:rsid w:val="00A33906"/>
    <w:rsid w:val="00A41998"/>
    <w:rsid w:val="00AA353F"/>
    <w:rsid w:val="00AA3FDE"/>
    <w:rsid w:val="00AA74CB"/>
    <w:rsid w:val="00AB13F4"/>
    <w:rsid w:val="00AB2351"/>
    <w:rsid w:val="00B13C3F"/>
    <w:rsid w:val="00B21697"/>
    <w:rsid w:val="00B75065"/>
    <w:rsid w:val="00BA28ED"/>
    <w:rsid w:val="00BB4379"/>
    <w:rsid w:val="00C157B5"/>
    <w:rsid w:val="00C3474F"/>
    <w:rsid w:val="00C53274"/>
    <w:rsid w:val="00C61A03"/>
    <w:rsid w:val="00CD254A"/>
    <w:rsid w:val="00D03CC1"/>
    <w:rsid w:val="00D20530"/>
    <w:rsid w:val="00D355F5"/>
    <w:rsid w:val="00D438CE"/>
    <w:rsid w:val="00D43F9E"/>
    <w:rsid w:val="00D47EB4"/>
    <w:rsid w:val="00D5429C"/>
    <w:rsid w:val="00D96753"/>
    <w:rsid w:val="00DA09FC"/>
    <w:rsid w:val="00DB1ECB"/>
    <w:rsid w:val="00DB4C93"/>
    <w:rsid w:val="00DC4AD5"/>
    <w:rsid w:val="00DD038A"/>
    <w:rsid w:val="00DE09DE"/>
    <w:rsid w:val="00E5516C"/>
    <w:rsid w:val="00E71DC8"/>
    <w:rsid w:val="00E8413E"/>
    <w:rsid w:val="00E95E66"/>
    <w:rsid w:val="00E96E3A"/>
    <w:rsid w:val="00EB3A40"/>
    <w:rsid w:val="00EE08B7"/>
    <w:rsid w:val="00EE1891"/>
    <w:rsid w:val="00EF2202"/>
    <w:rsid w:val="00F0482B"/>
    <w:rsid w:val="00F07E47"/>
    <w:rsid w:val="00F15608"/>
    <w:rsid w:val="00F4233E"/>
    <w:rsid w:val="00F50572"/>
    <w:rsid w:val="00F57239"/>
    <w:rsid w:val="00F938FD"/>
    <w:rsid w:val="00FA2D27"/>
    <w:rsid w:val="00FC03ED"/>
    <w:rsid w:val="05681FDB"/>
    <w:rsid w:val="0F0554E3"/>
    <w:rsid w:val="1E910E87"/>
    <w:rsid w:val="326E33A7"/>
    <w:rsid w:val="3DEE75D9"/>
    <w:rsid w:val="43EC472B"/>
    <w:rsid w:val="446371FB"/>
    <w:rsid w:val="4AC07CE3"/>
    <w:rsid w:val="4F3B738B"/>
    <w:rsid w:val="54FE53A8"/>
    <w:rsid w:val="59304443"/>
    <w:rsid w:val="5B202D8B"/>
    <w:rsid w:val="6BBA3F62"/>
    <w:rsid w:val="71342F3A"/>
    <w:rsid w:val="79920446"/>
    <w:rsid w:val="79C8386F"/>
    <w:rsid w:val="7B4C38D7"/>
    <w:rsid w:val="7DD24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9"/>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autoSpaceDE w:val="0"/>
      <w:autoSpaceDN w:val="0"/>
      <w:jc w:val="left"/>
    </w:pPr>
    <w:rPr>
      <w:rFonts w:ascii="宋体" w:hAnsi="宋体" w:cs="宋体"/>
      <w:kern w:val="0"/>
      <w:sz w:val="24"/>
      <w:lang w:val="zh-CN" w:bidi="zh-CN"/>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ascii="宋体" w:hAnsi="Times New Roman" w:eastAsia="宋体"/>
      <w:color w:val="auto"/>
      <w:spacing w:val="0"/>
      <w:w w:val="100"/>
      <w:position w:val="0"/>
      <w:sz w:val="21"/>
      <w:u w:val="none"/>
      <w:vertAlign w:val="baseline"/>
    </w:rPr>
  </w:style>
  <w:style w:type="character" w:styleId="13">
    <w:name w:val="annotation reference"/>
    <w:basedOn w:val="11"/>
    <w:semiHidden/>
    <w:unhideWhenUsed/>
    <w:uiPriority w:val="99"/>
    <w:rPr>
      <w:sz w:val="21"/>
      <w:szCs w:val="21"/>
    </w:rPr>
  </w:style>
  <w:style w:type="character" w:customStyle="1" w:styleId="14">
    <w:name w:val="标题 3 字符"/>
    <w:basedOn w:val="11"/>
    <w:link w:val="2"/>
    <w:semiHidden/>
    <w:qFormat/>
    <w:uiPriority w:val="9"/>
    <w:rPr>
      <w:b/>
      <w:bCs/>
      <w:sz w:val="32"/>
      <w:szCs w:val="32"/>
    </w:rPr>
  </w:style>
  <w:style w:type="character" w:customStyle="1" w:styleId="15">
    <w:name w:val="页眉 字符"/>
    <w:basedOn w:val="11"/>
    <w:link w:val="6"/>
    <w:qFormat/>
    <w:uiPriority w:val="99"/>
    <w:rPr>
      <w:kern w:val="2"/>
      <w:sz w:val="18"/>
      <w:szCs w:val="18"/>
    </w:rPr>
  </w:style>
  <w:style w:type="character" w:customStyle="1" w:styleId="16">
    <w:name w:val="页脚 字符"/>
    <w:basedOn w:val="11"/>
    <w:link w:val="5"/>
    <w:qFormat/>
    <w:uiPriority w:val="99"/>
    <w:rPr>
      <w:kern w:val="2"/>
      <w:sz w:val="18"/>
      <w:szCs w:val="18"/>
    </w:rPr>
  </w:style>
  <w:style w:type="character" w:customStyle="1" w:styleId="17">
    <w:name w:val="批注文字 字符"/>
    <w:basedOn w:val="11"/>
    <w:link w:val="3"/>
    <w:semiHidden/>
    <w:qFormat/>
    <w:uiPriority w:val="99"/>
    <w:rPr>
      <w:kern w:val="2"/>
      <w:sz w:val="21"/>
      <w:szCs w:val="22"/>
    </w:rPr>
  </w:style>
  <w:style w:type="character" w:customStyle="1" w:styleId="18">
    <w:name w:val="批注主题 字符"/>
    <w:basedOn w:val="17"/>
    <w:link w:val="8"/>
    <w:semiHidden/>
    <w:qFormat/>
    <w:uiPriority w:val="99"/>
    <w:rPr>
      <w:b/>
      <w:bCs/>
      <w:kern w:val="2"/>
      <w:sz w:val="21"/>
      <w:szCs w:val="22"/>
    </w:rPr>
  </w:style>
  <w:style w:type="character" w:customStyle="1" w:styleId="19">
    <w:name w:val="批注框文本 字符"/>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302</Words>
  <Characters>1724</Characters>
  <Lines>14</Lines>
  <Paragraphs>4</Paragraphs>
  <TotalTime>73</TotalTime>
  <ScaleCrop>false</ScaleCrop>
  <LinksUpToDate>false</LinksUpToDate>
  <CharactersWithSpaces>2022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2023-08-14T02:15:00Z</dcterms:created>
  <dc:creator>liuxin93226@163.com</dc:creator>
  <cp:lastModifiedBy>Obsession</cp:lastModifiedBy>
  <dcterms:modified xsi:type="dcterms:W3CDTF">2023-09-22T03:02:52Z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33EEDA0D5295408FAA6BDA14ED82303E_13</vt:lpwstr>
  </property>
</Properties>
</file>